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Calibri" w:hAnsi="Calibri" w:eastAsia="宋体" w:cs="Times New Roman"/>
          <w:b/>
          <w:bCs/>
          <w:kern w:val="2"/>
          <w:sz w:val="44"/>
          <w:szCs w:val="44"/>
          <w:lang w:val="en-US" w:eastAsia="zh-CN" w:bidi="ar-SA"/>
        </w:rPr>
      </w:pPr>
      <w:r>
        <w:rPr>
          <w:rFonts w:hint="eastAsia" w:ascii="Calibri" w:hAnsi="Calibri" w:eastAsia="宋体" w:cs="Times New Roman"/>
          <w:b/>
          <w:bCs/>
          <w:kern w:val="2"/>
          <w:sz w:val="44"/>
          <w:szCs w:val="44"/>
          <w:lang w:val="en-US" w:eastAsia="zh-CN" w:bidi="ar-SA"/>
        </w:rPr>
        <w:t>苏州工业园区</w:t>
      </w:r>
      <w:r>
        <w:rPr>
          <w:rFonts w:hint="eastAsia" w:ascii="Calibri" w:hAnsi="Calibri" w:cs="Times New Roman"/>
          <w:b/>
          <w:bCs/>
          <w:kern w:val="2"/>
          <w:sz w:val="44"/>
          <w:szCs w:val="44"/>
          <w:lang w:val="en-US" w:eastAsia="zh-CN" w:bidi="ar-SA"/>
        </w:rPr>
        <w:t>科技企业</w:t>
      </w:r>
      <w:r>
        <w:rPr>
          <w:rFonts w:hint="eastAsia" w:ascii="Calibri" w:hAnsi="Calibri" w:eastAsia="宋体" w:cs="Times New Roman"/>
          <w:b/>
          <w:bCs/>
          <w:kern w:val="2"/>
          <w:sz w:val="44"/>
          <w:szCs w:val="44"/>
          <w:lang w:val="en-US" w:eastAsia="zh-CN" w:bidi="ar-SA"/>
        </w:rPr>
        <w:t>数据调查</w:t>
      </w:r>
    </w:p>
    <w:p>
      <w:pPr>
        <w:keepNext w:val="0"/>
        <w:keepLines w:val="0"/>
        <w:pageBreakBefore w:val="0"/>
        <w:widowControl w:val="0"/>
        <w:kinsoku/>
        <w:wordWrap/>
        <w:overflowPunct/>
        <w:topLinePunct w:val="0"/>
        <w:autoSpaceDE w:val="0"/>
        <w:autoSpaceDN w:val="0"/>
        <w:bidi w:val="0"/>
        <w:adjustRightInd/>
        <w:snapToGrid/>
        <w:spacing w:before="183" w:line="360" w:lineRule="auto"/>
        <w:ind w:left="3680" w:right="3842" w:firstLine="0"/>
        <w:jc w:val="center"/>
        <w:textAlignment w:val="auto"/>
        <w:rPr>
          <w:rFonts w:hint="eastAsia" w:ascii="Calibri" w:hAnsi="Calibri" w:eastAsia="宋体" w:cs="Times New Roman"/>
          <w:b/>
          <w:bCs/>
          <w:kern w:val="2"/>
          <w:sz w:val="44"/>
          <w:szCs w:val="44"/>
          <w:lang w:val="en-US" w:eastAsia="zh-CN" w:bidi="ar-SA"/>
        </w:rPr>
      </w:pPr>
      <w:r>
        <w:rPr>
          <w:rFonts w:hint="eastAsia" w:ascii="Calibri" w:hAnsi="Calibri" w:eastAsia="宋体" w:cs="Times New Roman"/>
          <w:b/>
          <w:bCs/>
          <w:kern w:val="2"/>
          <w:sz w:val="44"/>
          <w:szCs w:val="44"/>
          <w:lang w:val="en-US" w:eastAsia="zh-CN" w:bidi="ar-SA"/>
        </w:rPr>
        <w:t xml:space="preserve">指标说明 </w:t>
      </w:r>
    </w:p>
    <w:p>
      <w:pPr>
        <w:pStyle w:val="3"/>
        <w:keepNext w:val="0"/>
        <w:keepLines w:val="0"/>
        <w:pageBreakBefore w:val="0"/>
        <w:widowControl w:val="0"/>
        <w:kinsoku/>
        <w:wordWrap/>
        <w:overflowPunct/>
        <w:topLinePunct w:val="0"/>
        <w:autoSpaceDE w:val="0"/>
        <w:autoSpaceDN w:val="0"/>
        <w:bidi w:val="0"/>
        <w:adjustRightInd/>
        <w:snapToGrid/>
        <w:spacing w:before="72" w:line="360" w:lineRule="auto"/>
        <w:textAlignment w:val="auto"/>
        <w:rPr>
          <w:rFonts w:hint="eastAsia" w:ascii="仿宋_GB2312" w:hAnsi="Calibri" w:eastAsia="仿宋_GB2312" w:cs="Times New Roman"/>
          <w:b/>
          <w:bCs/>
          <w:kern w:val="2"/>
          <w:sz w:val="32"/>
          <w:szCs w:val="32"/>
          <w:lang w:val="en-US" w:eastAsia="zh-CN" w:bidi="ar-SA"/>
        </w:rPr>
      </w:pPr>
      <w:r>
        <w:rPr>
          <w:rFonts w:hint="eastAsia" w:ascii="仿宋_GB2312" w:hAnsi="Calibri" w:eastAsia="仿宋_GB2312" w:cs="Times New Roman"/>
          <w:b/>
          <w:bCs/>
          <w:kern w:val="2"/>
          <w:sz w:val="32"/>
          <w:szCs w:val="32"/>
          <w:lang w:val="en-US" w:eastAsia="zh-CN" w:bidi="ar-SA"/>
        </w:rPr>
        <w:t xml:space="preserve">一、经营状况 </w:t>
      </w:r>
    </w:p>
    <w:p>
      <w:pPr>
        <w:pStyle w:val="8"/>
        <w:keepNext w:val="0"/>
        <w:keepLines w:val="0"/>
        <w:pageBreakBefore w:val="0"/>
        <w:widowControl w:val="0"/>
        <w:numPr>
          <w:ilvl w:val="0"/>
          <w:numId w:val="1"/>
        </w:numPr>
        <w:tabs>
          <w:tab w:val="left" w:pos="529"/>
        </w:tabs>
        <w:kinsoku/>
        <w:wordWrap/>
        <w:overflowPunct/>
        <w:topLinePunct w:val="0"/>
        <w:autoSpaceDE w:val="0"/>
        <w:autoSpaceDN w:val="0"/>
        <w:bidi w:val="0"/>
        <w:adjustRightInd/>
        <w:snapToGrid/>
        <w:spacing w:before="240" w:after="0" w:line="360" w:lineRule="auto"/>
        <w:ind w:left="528" w:right="0" w:hanging="426"/>
        <w:jc w:val="left"/>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营业收入（千元）： </w:t>
      </w:r>
    </w:p>
    <w:p>
      <w:pPr>
        <w:pStyle w:val="4"/>
        <w:keepNext w:val="0"/>
        <w:keepLines w:val="0"/>
        <w:pageBreakBefore w:val="0"/>
        <w:widowControl w:val="0"/>
        <w:kinsoku/>
        <w:wordWrap/>
        <w:overflowPunct/>
        <w:topLinePunct w:val="0"/>
        <w:autoSpaceDE w:val="0"/>
        <w:autoSpaceDN w:val="0"/>
        <w:bidi w:val="0"/>
        <w:adjustRightInd/>
        <w:snapToGrid/>
        <w:spacing w:before="239" w:line="360" w:lineRule="auto"/>
        <w:ind w:right="208"/>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   指企业经营主要业务和其他业务所确认的收入总额。营业收入合计包括“主营业务收入”和“其他业务收入”。根据会计“利润表”中“营业收入”项目的报告期内累计数填报。 </w:t>
      </w:r>
    </w:p>
    <w:p>
      <w:pPr>
        <w:pStyle w:val="4"/>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left="528" w:leftChars="0" w:right="354" w:hanging="426" w:firstLineChars="0"/>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净利润（千</w:t>
      </w:r>
      <w:bookmarkStart w:id="0" w:name="_GoBack"/>
      <w:bookmarkEnd w:id="0"/>
      <w:r>
        <w:rPr>
          <w:rFonts w:hint="eastAsia" w:ascii="仿宋_GB2312" w:hAnsi="Calibri" w:eastAsia="仿宋_GB2312" w:cs="Times New Roman"/>
          <w:b w:val="0"/>
          <w:bCs w:val="0"/>
          <w:kern w:val="2"/>
          <w:sz w:val="32"/>
          <w:szCs w:val="32"/>
          <w:lang w:val="en-US" w:eastAsia="zh-CN" w:bidi="ar-SA"/>
        </w:rPr>
        <w:t xml:space="preserve">元）： </w:t>
      </w:r>
    </w:p>
    <w:p>
      <w:pPr>
        <w:pStyle w:val="4"/>
        <w:keepNext w:val="0"/>
        <w:keepLines w:val="0"/>
        <w:pageBreakBefore w:val="0"/>
        <w:widowControl w:val="0"/>
        <w:kinsoku/>
        <w:wordWrap/>
        <w:overflowPunct/>
        <w:topLinePunct w:val="0"/>
        <w:autoSpaceDE w:val="0"/>
        <w:autoSpaceDN w:val="0"/>
        <w:bidi w:val="0"/>
        <w:adjustRightInd/>
        <w:snapToGrid/>
        <w:spacing w:line="360" w:lineRule="auto"/>
        <w:ind w:right="354"/>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   指企业实现的利润在上交国家所得税后的剩余部分。按会计“损益表”中“净利润”项的报告期内累计数填报。 </w:t>
      </w:r>
    </w:p>
    <w:p>
      <w:pPr>
        <w:pStyle w:val="4"/>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left="528" w:leftChars="0" w:right="263" w:hanging="426" w:firstLineChars="0"/>
        <w:jc w:val="both"/>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zh-CN" w:eastAsia="zh-CN" w:bidi="ar-SA"/>
        </w:rPr>
        <w:t xml:space="preserve">研发经费支出（千元）: </w:t>
      </w:r>
    </w:p>
    <w:p>
      <w:pPr>
        <w:pStyle w:val="4"/>
        <w:keepNext w:val="0"/>
        <w:keepLines w:val="0"/>
        <w:pageBreakBefore w:val="0"/>
        <w:widowControl w:val="0"/>
        <w:kinsoku/>
        <w:wordWrap/>
        <w:overflowPunct/>
        <w:topLinePunct w:val="0"/>
        <w:autoSpaceDE w:val="0"/>
        <w:autoSpaceDN w:val="0"/>
        <w:bidi w:val="0"/>
        <w:adjustRightInd/>
        <w:snapToGrid/>
        <w:spacing w:line="360" w:lineRule="auto"/>
        <w:ind w:right="354"/>
        <w:textAlignment w:val="auto"/>
        <w:rPr>
          <w:rFonts w:hint="eastAsia" w:ascii="仿宋_GB2312" w:hAnsi="Calibri" w:eastAsia="仿宋_GB2312" w:cs="Times New Roman"/>
          <w:b w:val="0"/>
          <w:bCs w:val="0"/>
          <w:kern w:val="2"/>
          <w:sz w:val="32"/>
          <w:szCs w:val="32"/>
          <w:lang w:val="zh-CN" w:eastAsia="zh-CN" w:bidi="ar-SA"/>
        </w:rPr>
      </w:pPr>
      <w:r>
        <w:rPr>
          <w:rFonts w:hint="eastAsia" w:ascii="仿宋_GB2312" w:hAnsi="Calibri" w:eastAsia="仿宋_GB2312" w:cs="Times New Roman"/>
          <w:b w:val="0"/>
          <w:bCs w:val="0"/>
          <w:kern w:val="2"/>
          <w:sz w:val="32"/>
          <w:szCs w:val="32"/>
          <w:lang w:val="zh-CN" w:eastAsia="zh-CN" w:bidi="ar-SA"/>
        </w:rPr>
        <w:t xml:space="preserve">   指报告期内企业开展科技活动的经费支出合计，包括企业内部的日常科技活动经费支出，当年形成用于科技活动的固定资产支出和委托外单位开展科技活动的经费支出。</w:t>
      </w:r>
    </w:p>
    <w:p>
      <w:pPr>
        <w:pStyle w:val="4"/>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left="528" w:leftChars="0" w:right="354" w:hanging="426" w:firstLineChars="0"/>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期末实际上缴税收（千元）： </w:t>
      </w:r>
    </w:p>
    <w:p>
      <w:pPr>
        <w:pStyle w:val="4"/>
        <w:keepNext w:val="0"/>
        <w:keepLines w:val="0"/>
        <w:pageBreakBefore w:val="0"/>
        <w:widowControl w:val="0"/>
        <w:kinsoku/>
        <w:wordWrap/>
        <w:overflowPunct/>
        <w:topLinePunct w:val="0"/>
        <w:autoSpaceDE w:val="0"/>
        <w:autoSpaceDN w:val="0"/>
        <w:bidi w:val="0"/>
        <w:adjustRightInd/>
        <w:snapToGrid/>
        <w:spacing w:before="239" w:line="360" w:lineRule="auto"/>
        <w:ind w:right="260" w:firstLine="420"/>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指企业在报告期内实际上缴的各项税金、特种基金和附加费等。按当年实际发生额填报。 </w:t>
      </w:r>
    </w:p>
    <w:p>
      <w:pPr>
        <w:pStyle w:val="8"/>
        <w:keepNext w:val="0"/>
        <w:keepLines w:val="0"/>
        <w:pageBreakBefore w:val="0"/>
        <w:widowControl w:val="0"/>
        <w:numPr>
          <w:ilvl w:val="0"/>
          <w:numId w:val="1"/>
        </w:numPr>
        <w:tabs>
          <w:tab w:val="left" w:pos="529"/>
        </w:tabs>
        <w:kinsoku/>
        <w:wordWrap/>
        <w:overflowPunct/>
        <w:topLinePunct w:val="0"/>
        <w:autoSpaceDE w:val="0"/>
        <w:autoSpaceDN w:val="0"/>
        <w:bidi w:val="0"/>
        <w:adjustRightInd/>
        <w:snapToGrid/>
        <w:spacing w:before="240" w:after="0" w:line="360" w:lineRule="auto"/>
        <w:ind w:left="528" w:right="0" w:hanging="426"/>
        <w:jc w:val="both"/>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出口总额（千元）: </w:t>
      </w:r>
    </w:p>
    <w:p>
      <w:pPr>
        <w:pStyle w:val="4"/>
        <w:keepNext w:val="0"/>
        <w:keepLines w:val="0"/>
        <w:pageBreakBefore w:val="0"/>
        <w:widowControl w:val="0"/>
        <w:kinsoku/>
        <w:wordWrap/>
        <w:overflowPunct/>
        <w:topLinePunct w:val="0"/>
        <w:autoSpaceDE w:val="0"/>
        <w:autoSpaceDN w:val="0"/>
        <w:bidi w:val="0"/>
        <w:adjustRightInd/>
        <w:snapToGrid/>
        <w:spacing w:line="360" w:lineRule="auto"/>
        <w:ind w:right="263"/>
        <w:jc w:val="both"/>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   指企业自营（委托）出口（包括销往香港、澳门、台湾地区）或交给外贸部门出口的产品、商品、出售给境外企业的技术或者为外商提供服务获得收益的总金额。含外商来样、来料加工、来件装配和补偿贸易等生产的产品价值，及境外技术合同或者服务实现金额。</w:t>
      </w:r>
    </w:p>
    <w:p>
      <w:pPr>
        <w:pStyle w:val="8"/>
        <w:keepNext w:val="0"/>
        <w:keepLines w:val="0"/>
        <w:pageBreakBefore w:val="0"/>
        <w:widowControl w:val="0"/>
        <w:numPr>
          <w:ilvl w:val="0"/>
          <w:numId w:val="1"/>
        </w:numPr>
        <w:tabs>
          <w:tab w:val="left" w:pos="529"/>
        </w:tabs>
        <w:kinsoku/>
        <w:wordWrap/>
        <w:overflowPunct/>
        <w:topLinePunct w:val="0"/>
        <w:autoSpaceDE w:val="0"/>
        <w:autoSpaceDN w:val="0"/>
        <w:bidi w:val="0"/>
        <w:adjustRightInd/>
        <w:snapToGrid/>
        <w:spacing w:before="3" w:after="0" w:line="360" w:lineRule="auto"/>
        <w:ind w:left="528" w:right="0" w:hanging="426"/>
        <w:jc w:val="both"/>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期末资产（千元）: </w:t>
      </w:r>
    </w:p>
    <w:p>
      <w:pPr>
        <w:pStyle w:val="4"/>
        <w:keepNext w:val="0"/>
        <w:keepLines w:val="0"/>
        <w:pageBreakBefore w:val="0"/>
        <w:widowControl w:val="0"/>
        <w:kinsoku/>
        <w:wordWrap/>
        <w:overflowPunct/>
        <w:topLinePunct w:val="0"/>
        <w:autoSpaceDE w:val="0"/>
        <w:autoSpaceDN w:val="0"/>
        <w:bidi w:val="0"/>
        <w:adjustRightInd/>
        <w:snapToGrid/>
        <w:spacing w:line="360" w:lineRule="auto"/>
        <w:ind w:right="412"/>
        <w:jc w:val="both"/>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   指企业过去的交易或者事项形成的、由企业拥有或者控制的、预期会给企业带来经济利益的资源。资产一般按流动性（资产的变现或耗用时间长短）分为流动资产和非流动资产。其中流动资产可分为货币资金、交易性金融资产、应收票据、应收账款、预付款项、其他应收款、存货等；非流动资产可分为长期股权投资、固定资产、无形资产及其他非流动资产等。根据会计“资产负债表”中“资产总计”项目的期末余额数填报。  </w:t>
      </w:r>
    </w:p>
    <w:p>
      <w:pPr>
        <w:pStyle w:val="8"/>
        <w:keepNext w:val="0"/>
        <w:keepLines w:val="0"/>
        <w:pageBreakBefore w:val="0"/>
        <w:widowControl w:val="0"/>
        <w:numPr>
          <w:ilvl w:val="0"/>
          <w:numId w:val="1"/>
        </w:numPr>
        <w:tabs>
          <w:tab w:val="left" w:pos="529"/>
        </w:tabs>
        <w:kinsoku/>
        <w:wordWrap/>
        <w:overflowPunct/>
        <w:topLinePunct w:val="0"/>
        <w:autoSpaceDE w:val="0"/>
        <w:autoSpaceDN w:val="0"/>
        <w:bidi w:val="0"/>
        <w:adjustRightInd/>
        <w:snapToGrid/>
        <w:spacing w:before="10" w:after="0" w:line="360" w:lineRule="auto"/>
        <w:ind w:left="528" w:right="0" w:hanging="426"/>
        <w:jc w:val="both"/>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企业期末获得风险投资金额（千元）: </w:t>
      </w:r>
    </w:p>
    <w:p>
      <w:pPr>
        <w:pStyle w:val="4"/>
        <w:keepNext w:val="0"/>
        <w:keepLines w:val="0"/>
        <w:pageBreakBefore w:val="0"/>
        <w:widowControl w:val="0"/>
        <w:kinsoku/>
        <w:wordWrap/>
        <w:overflowPunct/>
        <w:topLinePunct w:val="0"/>
        <w:autoSpaceDE w:val="0"/>
        <w:autoSpaceDN w:val="0"/>
        <w:bidi w:val="0"/>
        <w:adjustRightInd/>
        <w:snapToGrid/>
        <w:spacing w:before="239" w:line="360" w:lineRule="auto"/>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   填报报告期内企业获得创业风险投资机构的投资额。 </w:t>
      </w:r>
    </w:p>
    <w:p>
      <w:pPr>
        <w:pStyle w:val="3"/>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 </w:t>
      </w:r>
    </w:p>
    <w:p>
      <w:pPr>
        <w:pStyle w:val="3"/>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Calibri" w:eastAsia="仿宋_GB2312" w:cs="Times New Roman"/>
          <w:b/>
          <w:bCs/>
          <w:kern w:val="2"/>
          <w:sz w:val="32"/>
          <w:szCs w:val="32"/>
          <w:lang w:val="en-US" w:eastAsia="zh-CN" w:bidi="ar-SA"/>
        </w:rPr>
      </w:pPr>
      <w:r>
        <w:rPr>
          <w:rFonts w:hint="eastAsia" w:ascii="仿宋_GB2312" w:hAnsi="Calibri" w:eastAsia="仿宋_GB2312" w:cs="Times New Roman"/>
          <w:b/>
          <w:bCs/>
          <w:kern w:val="2"/>
          <w:sz w:val="32"/>
          <w:szCs w:val="32"/>
          <w:lang w:val="en-US" w:eastAsia="zh-CN" w:bidi="ar-SA"/>
        </w:rPr>
        <w:t xml:space="preserve">二、人员情况 </w:t>
      </w:r>
    </w:p>
    <w:p>
      <w:pPr>
        <w:pStyle w:val="8"/>
        <w:keepNext w:val="0"/>
        <w:keepLines w:val="0"/>
        <w:pageBreakBefore w:val="0"/>
        <w:widowControl w:val="0"/>
        <w:numPr>
          <w:ilvl w:val="0"/>
          <w:numId w:val="2"/>
        </w:numPr>
        <w:tabs>
          <w:tab w:val="left" w:pos="529"/>
        </w:tabs>
        <w:kinsoku/>
        <w:wordWrap/>
        <w:overflowPunct/>
        <w:topLinePunct w:val="0"/>
        <w:autoSpaceDE w:val="0"/>
        <w:autoSpaceDN w:val="0"/>
        <w:bidi w:val="0"/>
        <w:adjustRightInd/>
        <w:snapToGrid/>
        <w:spacing w:before="240" w:after="0" w:line="360" w:lineRule="auto"/>
        <w:ind w:left="528" w:right="0" w:hanging="426"/>
        <w:jc w:val="both"/>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从业人员期末人数： </w:t>
      </w:r>
    </w:p>
    <w:p>
      <w:pPr>
        <w:pStyle w:val="4"/>
        <w:keepNext w:val="0"/>
        <w:keepLines w:val="0"/>
        <w:pageBreakBefore w:val="0"/>
        <w:widowControl w:val="0"/>
        <w:kinsoku/>
        <w:wordWrap/>
        <w:overflowPunct/>
        <w:topLinePunct w:val="0"/>
        <w:autoSpaceDE w:val="0"/>
        <w:autoSpaceDN w:val="0"/>
        <w:bidi w:val="0"/>
        <w:adjustRightInd/>
        <w:snapToGrid/>
        <w:spacing w:line="360" w:lineRule="auto"/>
        <w:ind w:right="414" w:firstLine="420"/>
        <w:jc w:val="both"/>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指报告期末最后一日 24 时在本单位工作，并取得工资或其他形式劳动报酬的人员数。该指标为时点指标，不包括最后一日当天及以前已经与单位解除劳动合同关系的人员，是在岗职工、劳务派遣人员及其他从业人员之和。从业人员不包括： 1.离开本单位仍保留劳动关系，并定期领取生活费的人员； 2.在本单位实习的各类在校学生； 3.本单位因劳务外包而使用的人员。 </w:t>
      </w:r>
    </w:p>
    <w:p>
      <w:pPr>
        <w:pStyle w:val="8"/>
        <w:keepNext w:val="0"/>
        <w:keepLines w:val="0"/>
        <w:pageBreakBefore w:val="0"/>
        <w:widowControl w:val="0"/>
        <w:numPr>
          <w:ilvl w:val="0"/>
          <w:numId w:val="2"/>
        </w:numPr>
        <w:tabs>
          <w:tab w:val="left" w:pos="529"/>
        </w:tabs>
        <w:kinsoku/>
        <w:wordWrap/>
        <w:overflowPunct/>
        <w:topLinePunct w:val="0"/>
        <w:autoSpaceDE w:val="0"/>
        <w:autoSpaceDN w:val="0"/>
        <w:bidi w:val="0"/>
        <w:adjustRightInd/>
        <w:snapToGrid/>
        <w:spacing w:before="240" w:after="0" w:line="360" w:lineRule="auto"/>
        <w:ind w:left="528" w:right="0" w:hanging="426"/>
        <w:jc w:val="both"/>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研发人员人数： </w:t>
      </w:r>
    </w:p>
    <w:p>
      <w:pPr>
        <w:pStyle w:val="4"/>
        <w:keepNext w:val="0"/>
        <w:keepLines w:val="0"/>
        <w:pageBreakBefore w:val="0"/>
        <w:widowControl w:val="0"/>
        <w:kinsoku/>
        <w:wordWrap/>
        <w:overflowPunct/>
        <w:topLinePunct w:val="0"/>
        <w:autoSpaceDE w:val="0"/>
        <w:autoSpaceDN w:val="0"/>
        <w:bidi w:val="0"/>
        <w:adjustRightInd/>
        <w:snapToGrid/>
        <w:spacing w:line="360" w:lineRule="auto"/>
        <w:ind w:right="414" w:firstLine="420"/>
        <w:jc w:val="both"/>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指企业内部直接参加科技项目及项目的管理人员和直接服务的 人员。不含全年累计从事科技活动时间不足制度工作时间 10%的人员。 </w:t>
      </w:r>
    </w:p>
    <w:p>
      <w:pPr>
        <w:pStyle w:val="4"/>
        <w:keepNext w:val="0"/>
        <w:keepLines w:val="0"/>
        <w:pageBreakBefore w:val="0"/>
        <w:widowControl w:val="0"/>
        <w:numPr>
          <w:ilvl w:val="0"/>
          <w:numId w:val="2"/>
        </w:numPr>
        <w:kinsoku/>
        <w:wordWrap/>
        <w:overflowPunct/>
        <w:topLinePunct w:val="0"/>
        <w:autoSpaceDE w:val="0"/>
        <w:autoSpaceDN w:val="0"/>
        <w:bidi w:val="0"/>
        <w:adjustRightInd/>
        <w:snapToGrid/>
        <w:spacing w:line="360" w:lineRule="auto"/>
        <w:ind w:left="528" w:leftChars="0" w:right="414" w:hanging="426" w:firstLineChars="0"/>
        <w:jc w:val="both"/>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海归人员： </w:t>
      </w:r>
    </w:p>
    <w:p>
      <w:pPr>
        <w:pStyle w:val="4"/>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   指从业人员中出国学习、取得学位的归国人员。 </w:t>
      </w:r>
    </w:p>
    <w:p>
      <w:pPr>
        <w:pStyle w:val="4"/>
        <w:keepNext w:val="0"/>
        <w:keepLines w:val="0"/>
        <w:pageBreakBefore w:val="0"/>
        <w:widowControl w:val="0"/>
        <w:kinsoku/>
        <w:wordWrap/>
        <w:overflowPunct/>
        <w:topLinePunct w:val="0"/>
        <w:autoSpaceDE w:val="0"/>
        <w:autoSpaceDN w:val="0"/>
        <w:bidi w:val="0"/>
        <w:adjustRightInd/>
        <w:snapToGrid/>
        <w:spacing w:before="0" w:line="360" w:lineRule="auto"/>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 </w:t>
      </w:r>
    </w:p>
    <w:p>
      <w:pPr>
        <w:pStyle w:val="3"/>
        <w:keepNext w:val="0"/>
        <w:keepLines w:val="0"/>
        <w:pageBreakBefore w:val="0"/>
        <w:widowControl w:val="0"/>
        <w:kinsoku/>
        <w:wordWrap/>
        <w:overflowPunct/>
        <w:topLinePunct w:val="0"/>
        <w:autoSpaceDE w:val="0"/>
        <w:autoSpaceDN w:val="0"/>
        <w:bidi w:val="0"/>
        <w:adjustRightInd/>
        <w:snapToGrid/>
        <w:spacing w:before="71" w:line="360" w:lineRule="auto"/>
        <w:textAlignment w:val="auto"/>
        <w:rPr>
          <w:rFonts w:hint="eastAsia" w:ascii="仿宋_GB2312" w:hAnsi="Calibri" w:eastAsia="仿宋_GB2312" w:cs="Times New Roman"/>
          <w:b/>
          <w:bCs/>
          <w:kern w:val="2"/>
          <w:sz w:val="32"/>
          <w:szCs w:val="32"/>
          <w:lang w:val="en-US" w:eastAsia="zh-CN" w:bidi="ar-SA"/>
        </w:rPr>
      </w:pPr>
      <w:r>
        <w:rPr>
          <w:rFonts w:hint="eastAsia" w:ascii="仿宋_GB2312" w:hAnsi="Calibri" w:eastAsia="仿宋_GB2312" w:cs="Times New Roman"/>
          <w:b/>
          <w:bCs/>
          <w:kern w:val="2"/>
          <w:sz w:val="32"/>
          <w:szCs w:val="32"/>
          <w:lang w:val="en-US" w:eastAsia="zh-CN" w:bidi="ar-SA"/>
        </w:rPr>
        <w:t xml:space="preserve">三、科技活动情况 </w:t>
      </w:r>
    </w:p>
    <w:p>
      <w:pPr>
        <w:pStyle w:val="8"/>
        <w:keepNext w:val="0"/>
        <w:keepLines w:val="0"/>
        <w:pageBreakBefore w:val="0"/>
        <w:widowControl w:val="0"/>
        <w:numPr>
          <w:ilvl w:val="0"/>
          <w:numId w:val="3"/>
        </w:numPr>
        <w:tabs>
          <w:tab w:val="left" w:pos="529"/>
        </w:tabs>
        <w:kinsoku/>
        <w:wordWrap/>
        <w:overflowPunct/>
        <w:topLinePunct w:val="0"/>
        <w:autoSpaceDE w:val="0"/>
        <w:autoSpaceDN w:val="0"/>
        <w:bidi w:val="0"/>
        <w:adjustRightInd/>
        <w:snapToGrid/>
        <w:spacing w:before="240" w:after="0" w:line="360" w:lineRule="auto"/>
        <w:ind w:left="528" w:right="0" w:hanging="426"/>
        <w:jc w:val="left"/>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发明专利申请数： </w:t>
      </w:r>
    </w:p>
    <w:p>
      <w:pPr>
        <w:pStyle w:val="4"/>
        <w:keepNext w:val="0"/>
        <w:keepLines w:val="0"/>
        <w:pageBreakBefore w:val="0"/>
        <w:widowControl w:val="0"/>
        <w:kinsoku/>
        <w:wordWrap/>
        <w:overflowPunct/>
        <w:topLinePunct w:val="0"/>
        <w:autoSpaceDE w:val="0"/>
        <w:autoSpaceDN w:val="0"/>
        <w:bidi w:val="0"/>
        <w:adjustRightInd/>
        <w:snapToGrid/>
        <w:spacing w:line="360" w:lineRule="auto"/>
        <w:ind w:right="422"/>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   指报告期内企业作为第一申请人向境内外知识产权行政部门提出发明专利申请并被受理的件数。 </w:t>
      </w:r>
    </w:p>
    <w:p>
      <w:pPr>
        <w:pStyle w:val="8"/>
        <w:keepNext w:val="0"/>
        <w:keepLines w:val="0"/>
        <w:pageBreakBefore w:val="0"/>
        <w:widowControl w:val="0"/>
        <w:numPr>
          <w:ilvl w:val="0"/>
          <w:numId w:val="3"/>
        </w:numPr>
        <w:tabs>
          <w:tab w:val="left" w:pos="529"/>
        </w:tabs>
        <w:kinsoku/>
        <w:wordWrap/>
        <w:overflowPunct/>
        <w:topLinePunct w:val="0"/>
        <w:autoSpaceDE w:val="0"/>
        <w:autoSpaceDN w:val="0"/>
        <w:bidi w:val="0"/>
        <w:adjustRightInd/>
        <w:snapToGrid/>
        <w:spacing w:before="3" w:after="0" w:line="360" w:lineRule="auto"/>
        <w:ind w:left="528" w:right="0" w:hanging="426"/>
        <w:jc w:val="left"/>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发明专利授权数： </w:t>
      </w:r>
    </w:p>
    <w:p>
      <w:pPr>
        <w:pStyle w:val="4"/>
        <w:keepNext w:val="0"/>
        <w:keepLines w:val="0"/>
        <w:pageBreakBefore w:val="0"/>
        <w:widowControl w:val="0"/>
        <w:kinsoku/>
        <w:wordWrap/>
        <w:overflowPunct/>
        <w:topLinePunct w:val="0"/>
        <w:autoSpaceDE w:val="0"/>
        <w:autoSpaceDN w:val="0"/>
        <w:bidi w:val="0"/>
        <w:adjustRightInd/>
        <w:snapToGrid/>
        <w:spacing w:line="360" w:lineRule="auto"/>
        <w:ind w:right="422" w:firstLine="640" w:firstLineChars="200"/>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指报告期内企业作为第一专利权人获得的经国内外专利行政部门授权的发明专利件数。 </w:t>
      </w:r>
    </w:p>
    <w:p>
      <w:pPr>
        <w:pStyle w:val="8"/>
        <w:keepNext w:val="0"/>
        <w:keepLines w:val="0"/>
        <w:pageBreakBefore w:val="0"/>
        <w:widowControl w:val="0"/>
        <w:numPr>
          <w:ilvl w:val="0"/>
          <w:numId w:val="3"/>
        </w:numPr>
        <w:tabs>
          <w:tab w:val="left" w:pos="529"/>
        </w:tabs>
        <w:kinsoku/>
        <w:wordWrap/>
        <w:overflowPunct/>
        <w:topLinePunct w:val="0"/>
        <w:autoSpaceDE w:val="0"/>
        <w:autoSpaceDN w:val="0"/>
        <w:bidi w:val="0"/>
        <w:adjustRightInd/>
        <w:snapToGrid/>
        <w:spacing w:before="240" w:after="0" w:line="360" w:lineRule="auto"/>
        <w:ind w:left="528" w:right="0" w:hanging="426"/>
        <w:jc w:val="left"/>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PCT 申请数： </w:t>
      </w:r>
    </w:p>
    <w:p>
      <w:pPr>
        <w:pStyle w:val="8"/>
        <w:keepNext w:val="0"/>
        <w:keepLines w:val="0"/>
        <w:pageBreakBefore w:val="0"/>
        <w:widowControl w:val="0"/>
        <w:numPr>
          <w:ilvl w:val="0"/>
          <w:numId w:val="0"/>
        </w:numPr>
        <w:tabs>
          <w:tab w:val="left" w:pos="529"/>
        </w:tabs>
        <w:kinsoku/>
        <w:wordWrap/>
        <w:overflowPunct/>
        <w:topLinePunct w:val="0"/>
        <w:autoSpaceDE w:val="0"/>
        <w:autoSpaceDN w:val="0"/>
        <w:bidi w:val="0"/>
        <w:adjustRightInd/>
        <w:snapToGrid/>
        <w:spacing w:before="240" w:after="0" w:line="360" w:lineRule="auto"/>
        <w:ind w:left="102" w:leftChars="0" w:right="0" w:rightChars="0" w:firstLine="640" w:firstLineChars="200"/>
        <w:jc w:val="left"/>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指报告期内企业作为第一申请人提出的PCT 国际专利申请数量。 </w:t>
      </w:r>
    </w:p>
    <w:p>
      <w:pPr>
        <w:pStyle w:val="8"/>
        <w:keepNext w:val="0"/>
        <w:keepLines w:val="0"/>
        <w:pageBreakBefore w:val="0"/>
        <w:widowControl w:val="0"/>
        <w:numPr>
          <w:ilvl w:val="0"/>
          <w:numId w:val="3"/>
        </w:numPr>
        <w:tabs>
          <w:tab w:val="left" w:pos="529"/>
        </w:tabs>
        <w:kinsoku/>
        <w:wordWrap/>
        <w:overflowPunct/>
        <w:topLinePunct w:val="0"/>
        <w:autoSpaceDE w:val="0"/>
        <w:autoSpaceDN w:val="0"/>
        <w:bidi w:val="0"/>
        <w:adjustRightInd/>
        <w:snapToGrid/>
        <w:spacing w:before="240" w:after="0" w:line="360" w:lineRule="auto"/>
        <w:ind w:left="528" w:right="0" w:hanging="426"/>
        <w:jc w:val="left"/>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新增软件著作权件数：</w:t>
      </w:r>
    </w:p>
    <w:p>
      <w:pPr>
        <w:pStyle w:val="8"/>
        <w:keepNext w:val="0"/>
        <w:keepLines w:val="0"/>
        <w:pageBreakBefore w:val="0"/>
        <w:widowControl w:val="0"/>
        <w:numPr>
          <w:ilvl w:val="0"/>
          <w:numId w:val="0"/>
        </w:numPr>
        <w:tabs>
          <w:tab w:val="left" w:pos="529"/>
        </w:tabs>
        <w:kinsoku/>
        <w:wordWrap/>
        <w:overflowPunct/>
        <w:topLinePunct w:val="0"/>
        <w:autoSpaceDE w:val="0"/>
        <w:autoSpaceDN w:val="0"/>
        <w:bidi w:val="0"/>
        <w:adjustRightInd/>
        <w:snapToGrid/>
        <w:spacing w:before="240" w:after="0" w:line="360" w:lineRule="auto"/>
        <w:ind w:left="102" w:leftChars="0" w:right="0" w:rightChars="0" w:firstLine="640" w:firstLineChars="200"/>
        <w:jc w:val="left"/>
        <w:textAlignment w:val="auto"/>
        <w:rPr>
          <w:rFonts w:hint="default"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zh-CN" w:eastAsia="zh-CN" w:bidi="ar-SA"/>
        </w:rPr>
        <w:t>指报告期内企业作为第一权利人申请并获得授权的软件著作权数量。</w:t>
      </w:r>
    </w:p>
    <w:p>
      <w:pPr>
        <w:pStyle w:val="8"/>
        <w:keepNext w:val="0"/>
        <w:keepLines w:val="0"/>
        <w:pageBreakBefore w:val="0"/>
        <w:widowControl w:val="0"/>
        <w:numPr>
          <w:ilvl w:val="0"/>
          <w:numId w:val="3"/>
        </w:numPr>
        <w:tabs>
          <w:tab w:val="left" w:pos="529"/>
        </w:tabs>
        <w:kinsoku/>
        <w:wordWrap/>
        <w:overflowPunct/>
        <w:topLinePunct w:val="0"/>
        <w:autoSpaceDE w:val="0"/>
        <w:autoSpaceDN w:val="0"/>
        <w:bidi w:val="0"/>
        <w:adjustRightInd/>
        <w:snapToGrid/>
        <w:spacing w:before="240" w:after="0" w:line="360" w:lineRule="auto"/>
        <w:ind w:left="528" w:right="0" w:hanging="426"/>
        <w:jc w:val="left"/>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集成电路布图设计件数：</w:t>
      </w:r>
    </w:p>
    <w:p>
      <w:pPr>
        <w:pStyle w:val="4"/>
        <w:keepNext w:val="0"/>
        <w:keepLines w:val="0"/>
        <w:pageBreakBefore w:val="0"/>
        <w:widowControl w:val="0"/>
        <w:kinsoku/>
        <w:wordWrap/>
        <w:overflowPunct/>
        <w:topLinePunct w:val="0"/>
        <w:autoSpaceDE w:val="0"/>
        <w:autoSpaceDN w:val="0"/>
        <w:bidi w:val="0"/>
        <w:adjustRightInd/>
        <w:snapToGrid/>
        <w:spacing w:line="360" w:lineRule="auto"/>
        <w:ind w:right="354"/>
        <w:textAlignment w:val="auto"/>
        <w:rPr>
          <w:rFonts w:hint="default"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   指报告期内企业作为第一权利人申请并获得授权的集成电路布图设计权数量。</w:t>
      </w:r>
    </w:p>
    <w:p>
      <w:pPr>
        <w:pStyle w:val="8"/>
        <w:keepNext w:val="0"/>
        <w:keepLines w:val="0"/>
        <w:pageBreakBefore w:val="0"/>
        <w:widowControl w:val="0"/>
        <w:numPr>
          <w:ilvl w:val="0"/>
          <w:numId w:val="3"/>
        </w:numPr>
        <w:tabs>
          <w:tab w:val="left" w:pos="529"/>
        </w:tabs>
        <w:kinsoku/>
        <w:wordWrap/>
        <w:overflowPunct/>
        <w:topLinePunct w:val="0"/>
        <w:autoSpaceDE w:val="0"/>
        <w:autoSpaceDN w:val="0"/>
        <w:bidi w:val="0"/>
        <w:adjustRightInd/>
        <w:snapToGrid/>
        <w:spacing w:before="240" w:after="0" w:line="360" w:lineRule="auto"/>
        <w:ind w:left="528" w:right="0" w:hanging="426"/>
        <w:jc w:val="left"/>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境外商标数： </w:t>
      </w:r>
    </w:p>
    <w:p>
      <w:pPr>
        <w:pStyle w:val="4"/>
        <w:keepNext w:val="0"/>
        <w:keepLines w:val="0"/>
        <w:pageBreakBefore w:val="0"/>
        <w:widowControl w:val="0"/>
        <w:kinsoku/>
        <w:wordWrap/>
        <w:overflowPunct/>
        <w:topLinePunct w:val="0"/>
        <w:autoSpaceDE w:val="0"/>
        <w:autoSpaceDN w:val="0"/>
        <w:bidi w:val="0"/>
        <w:adjustRightInd/>
        <w:snapToGrid/>
        <w:spacing w:line="360" w:lineRule="auto"/>
        <w:ind w:right="354"/>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   指在报告期末，企业作为第一商标注册人拥有的，经国外或港澳台商标行政部门核准注册且在有效期内的商标件数。 </w:t>
      </w:r>
    </w:p>
    <w:p>
      <w:pPr>
        <w:pStyle w:val="8"/>
        <w:keepNext w:val="0"/>
        <w:keepLines w:val="0"/>
        <w:pageBreakBefore w:val="0"/>
        <w:widowControl w:val="0"/>
        <w:numPr>
          <w:ilvl w:val="0"/>
          <w:numId w:val="3"/>
        </w:numPr>
        <w:tabs>
          <w:tab w:val="left" w:pos="529"/>
        </w:tabs>
        <w:kinsoku/>
        <w:wordWrap/>
        <w:overflowPunct/>
        <w:topLinePunct w:val="0"/>
        <w:autoSpaceDE w:val="0"/>
        <w:autoSpaceDN w:val="0"/>
        <w:bidi w:val="0"/>
        <w:adjustRightInd/>
        <w:snapToGrid/>
        <w:spacing w:before="3" w:after="0" w:line="360" w:lineRule="auto"/>
        <w:ind w:left="528" w:right="0" w:hanging="426"/>
        <w:jc w:val="left"/>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形成国际标准数： </w:t>
      </w:r>
    </w:p>
    <w:p>
      <w:pPr>
        <w:pStyle w:val="4"/>
        <w:keepNext w:val="0"/>
        <w:keepLines w:val="0"/>
        <w:pageBreakBefore w:val="0"/>
        <w:widowControl w:val="0"/>
        <w:kinsoku/>
        <w:wordWrap/>
        <w:overflowPunct/>
        <w:topLinePunct w:val="0"/>
        <w:autoSpaceDE w:val="0"/>
        <w:autoSpaceDN w:val="0"/>
        <w:bidi w:val="0"/>
        <w:adjustRightInd/>
        <w:snapToGrid/>
        <w:spacing w:line="360" w:lineRule="auto"/>
        <w:ind w:right="260"/>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   指报告期内本企业主导制定形成的国际标准数。国际标准是指国际标准化组织（ISO）、国际电工委员会（IEC）和国际电信联盟（ITU）制定的标准，以及国际标准化组织确认并公布的其他国际组织制定的标准。国际标准在世界范围内统一使用。 </w:t>
      </w:r>
    </w:p>
    <w:p>
      <w:pPr>
        <w:pStyle w:val="4"/>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ind w:left="528" w:leftChars="0" w:right="260" w:hanging="426" w:firstLineChars="0"/>
        <w:textAlignment w:val="auto"/>
        <w:rPr>
          <w:rFonts w:hint="default"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境外设立分支机构数量</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102" w:leftChars="0" w:right="260" w:rightChars="0"/>
        <w:textAlignment w:val="auto"/>
        <w:rPr>
          <w:rFonts w:hint="default"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 xml:space="preserve">  指报告期内企业在国外或港澳台自办（或与外单位合办）的研发机构、营销服务机构和生产基地的数量。与外单位合办的，若主要由本企业出资兴办，则由本企业统计，否则应由合办方统计。</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102" w:leftChars="0" w:right="260" w:rightChars="0"/>
        <w:textAlignment w:val="auto"/>
        <w:rPr>
          <w:rFonts w:hint="default" w:ascii="仿宋_GB2312" w:hAnsi="Calibri" w:eastAsia="仿宋_GB2312" w:cs="Times New Roman"/>
          <w:b w:val="0"/>
          <w:bCs w:val="0"/>
          <w:kern w:val="2"/>
          <w:sz w:val="32"/>
          <w:szCs w:val="32"/>
          <w:lang w:val="en-US" w:eastAsia="zh-CN" w:bidi="ar-SA"/>
        </w:rPr>
      </w:pPr>
    </w:p>
    <w:p>
      <w:pPr>
        <w:pStyle w:val="4"/>
        <w:keepNext w:val="0"/>
        <w:keepLines w:val="0"/>
        <w:pageBreakBefore w:val="0"/>
        <w:widowControl w:val="0"/>
        <w:kinsoku/>
        <w:wordWrap/>
        <w:overflowPunct/>
        <w:topLinePunct w:val="0"/>
        <w:autoSpaceDE w:val="0"/>
        <w:autoSpaceDN w:val="0"/>
        <w:bidi w:val="0"/>
        <w:adjustRightInd/>
        <w:snapToGrid/>
        <w:spacing w:line="360" w:lineRule="auto"/>
        <w:ind w:right="354"/>
        <w:textAlignment w:val="auto"/>
      </w:pPr>
    </w:p>
    <w:sectPr>
      <w:pgSz w:w="11910" w:h="16840"/>
      <w:pgMar w:top="1320" w:right="1380" w:bottom="280" w:left="120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1"/>
      <w:numFmt w:val="decimal"/>
      <w:lvlText w:val="%1."/>
      <w:lvlJc w:val="left"/>
      <w:pPr>
        <w:ind w:left="528" w:hanging="425"/>
        <w:jc w:val="left"/>
      </w:pPr>
      <w:rPr>
        <w:rFonts w:hint="default" w:ascii="宋体" w:hAnsi="宋体" w:eastAsia="宋体" w:cs="宋体"/>
        <w:spacing w:val="0"/>
        <w:w w:val="100"/>
        <w:sz w:val="30"/>
        <w:szCs w:val="30"/>
        <w:lang w:val="zh-CN" w:eastAsia="zh-CN" w:bidi="zh-CN"/>
      </w:rPr>
    </w:lvl>
    <w:lvl w:ilvl="1" w:tentative="0">
      <w:start w:val="0"/>
      <w:numFmt w:val="bullet"/>
      <w:lvlText w:val="•"/>
      <w:lvlJc w:val="left"/>
      <w:pPr>
        <w:ind w:left="1400" w:hanging="425"/>
      </w:pPr>
      <w:rPr>
        <w:rFonts w:hint="default"/>
        <w:lang w:val="zh-CN" w:eastAsia="zh-CN" w:bidi="zh-CN"/>
      </w:rPr>
    </w:lvl>
    <w:lvl w:ilvl="2" w:tentative="0">
      <w:start w:val="0"/>
      <w:numFmt w:val="bullet"/>
      <w:lvlText w:val="•"/>
      <w:lvlJc w:val="left"/>
      <w:pPr>
        <w:ind w:left="2281" w:hanging="425"/>
      </w:pPr>
      <w:rPr>
        <w:rFonts w:hint="default"/>
        <w:lang w:val="zh-CN" w:eastAsia="zh-CN" w:bidi="zh-CN"/>
      </w:rPr>
    </w:lvl>
    <w:lvl w:ilvl="3" w:tentative="0">
      <w:start w:val="0"/>
      <w:numFmt w:val="bullet"/>
      <w:lvlText w:val="•"/>
      <w:lvlJc w:val="left"/>
      <w:pPr>
        <w:ind w:left="3161" w:hanging="425"/>
      </w:pPr>
      <w:rPr>
        <w:rFonts w:hint="default"/>
        <w:lang w:val="zh-CN" w:eastAsia="zh-CN" w:bidi="zh-CN"/>
      </w:rPr>
    </w:lvl>
    <w:lvl w:ilvl="4" w:tentative="0">
      <w:start w:val="0"/>
      <w:numFmt w:val="bullet"/>
      <w:lvlText w:val="•"/>
      <w:lvlJc w:val="left"/>
      <w:pPr>
        <w:ind w:left="4042" w:hanging="425"/>
      </w:pPr>
      <w:rPr>
        <w:rFonts w:hint="default"/>
        <w:lang w:val="zh-CN" w:eastAsia="zh-CN" w:bidi="zh-CN"/>
      </w:rPr>
    </w:lvl>
    <w:lvl w:ilvl="5" w:tentative="0">
      <w:start w:val="0"/>
      <w:numFmt w:val="bullet"/>
      <w:lvlText w:val="•"/>
      <w:lvlJc w:val="left"/>
      <w:pPr>
        <w:ind w:left="4923" w:hanging="425"/>
      </w:pPr>
      <w:rPr>
        <w:rFonts w:hint="default"/>
        <w:lang w:val="zh-CN" w:eastAsia="zh-CN" w:bidi="zh-CN"/>
      </w:rPr>
    </w:lvl>
    <w:lvl w:ilvl="6" w:tentative="0">
      <w:start w:val="0"/>
      <w:numFmt w:val="bullet"/>
      <w:lvlText w:val="•"/>
      <w:lvlJc w:val="left"/>
      <w:pPr>
        <w:ind w:left="5803" w:hanging="425"/>
      </w:pPr>
      <w:rPr>
        <w:rFonts w:hint="default"/>
        <w:lang w:val="zh-CN" w:eastAsia="zh-CN" w:bidi="zh-CN"/>
      </w:rPr>
    </w:lvl>
    <w:lvl w:ilvl="7" w:tentative="0">
      <w:start w:val="0"/>
      <w:numFmt w:val="bullet"/>
      <w:lvlText w:val="•"/>
      <w:lvlJc w:val="left"/>
      <w:pPr>
        <w:ind w:left="6684" w:hanging="425"/>
      </w:pPr>
      <w:rPr>
        <w:rFonts w:hint="default"/>
        <w:lang w:val="zh-CN" w:eastAsia="zh-CN" w:bidi="zh-CN"/>
      </w:rPr>
    </w:lvl>
    <w:lvl w:ilvl="8" w:tentative="0">
      <w:start w:val="0"/>
      <w:numFmt w:val="bullet"/>
      <w:lvlText w:val="•"/>
      <w:lvlJc w:val="left"/>
      <w:pPr>
        <w:ind w:left="7565" w:hanging="425"/>
      </w:pPr>
      <w:rPr>
        <w:rFonts w:hint="default"/>
        <w:lang w:val="zh-CN" w:eastAsia="zh-CN" w:bidi="zh-CN"/>
      </w:rPr>
    </w:lvl>
  </w:abstractNum>
  <w:abstractNum w:abstractNumId="1">
    <w:nsid w:val="0053208E"/>
    <w:multiLevelType w:val="multilevel"/>
    <w:tmpl w:val="0053208E"/>
    <w:lvl w:ilvl="0" w:tentative="0">
      <w:start w:val="1"/>
      <w:numFmt w:val="decimal"/>
      <w:lvlText w:val="%1."/>
      <w:lvlJc w:val="left"/>
      <w:pPr>
        <w:ind w:left="528" w:hanging="425"/>
        <w:jc w:val="left"/>
      </w:pPr>
      <w:rPr>
        <w:rFonts w:hint="default" w:ascii="宋体" w:hAnsi="宋体" w:eastAsia="宋体" w:cs="宋体"/>
        <w:spacing w:val="0"/>
        <w:w w:val="100"/>
        <w:sz w:val="30"/>
        <w:szCs w:val="30"/>
        <w:lang w:val="zh-CN" w:eastAsia="zh-CN" w:bidi="zh-CN"/>
      </w:rPr>
    </w:lvl>
    <w:lvl w:ilvl="1" w:tentative="0">
      <w:start w:val="0"/>
      <w:numFmt w:val="bullet"/>
      <w:lvlText w:val="•"/>
      <w:lvlJc w:val="left"/>
      <w:pPr>
        <w:ind w:left="1400" w:hanging="425"/>
      </w:pPr>
      <w:rPr>
        <w:rFonts w:hint="default"/>
        <w:lang w:val="zh-CN" w:eastAsia="zh-CN" w:bidi="zh-CN"/>
      </w:rPr>
    </w:lvl>
    <w:lvl w:ilvl="2" w:tentative="0">
      <w:start w:val="0"/>
      <w:numFmt w:val="bullet"/>
      <w:lvlText w:val="•"/>
      <w:lvlJc w:val="left"/>
      <w:pPr>
        <w:ind w:left="2281" w:hanging="425"/>
      </w:pPr>
      <w:rPr>
        <w:rFonts w:hint="default"/>
        <w:lang w:val="zh-CN" w:eastAsia="zh-CN" w:bidi="zh-CN"/>
      </w:rPr>
    </w:lvl>
    <w:lvl w:ilvl="3" w:tentative="0">
      <w:start w:val="0"/>
      <w:numFmt w:val="bullet"/>
      <w:lvlText w:val="•"/>
      <w:lvlJc w:val="left"/>
      <w:pPr>
        <w:ind w:left="3161" w:hanging="425"/>
      </w:pPr>
      <w:rPr>
        <w:rFonts w:hint="default"/>
        <w:lang w:val="zh-CN" w:eastAsia="zh-CN" w:bidi="zh-CN"/>
      </w:rPr>
    </w:lvl>
    <w:lvl w:ilvl="4" w:tentative="0">
      <w:start w:val="0"/>
      <w:numFmt w:val="bullet"/>
      <w:lvlText w:val="•"/>
      <w:lvlJc w:val="left"/>
      <w:pPr>
        <w:ind w:left="4042" w:hanging="425"/>
      </w:pPr>
      <w:rPr>
        <w:rFonts w:hint="default"/>
        <w:lang w:val="zh-CN" w:eastAsia="zh-CN" w:bidi="zh-CN"/>
      </w:rPr>
    </w:lvl>
    <w:lvl w:ilvl="5" w:tentative="0">
      <w:start w:val="0"/>
      <w:numFmt w:val="bullet"/>
      <w:lvlText w:val="•"/>
      <w:lvlJc w:val="left"/>
      <w:pPr>
        <w:ind w:left="4923" w:hanging="425"/>
      </w:pPr>
      <w:rPr>
        <w:rFonts w:hint="default"/>
        <w:lang w:val="zh-CN" w:eastAsia="zh-CN" w:bidi="zh-CN"/>
      </w:rPr>
    </w:lvl>
    <w:lvl w:ilvl="6" w:tentative="0">
      <w:start w:val="0"/>
      <w:numFmt w:val="bullet"/>
      <w:lvlText w:val="•"/>
      <w:lvlJc w:val="left"/>
      <w:pPr>
        <w:ind w:left="5803" w:hanging="425"/>
      </w:pPr>
      <w:rPr>
        <w:rFonts w:hint="default"/>
        <w:lang w:val="zh-CN" w:eastAsia="zh-CN" w:bidi="zh-CN"/>
      </w:rPr>
    </w:lvl>
    <w:lvl w:ilvl="7" w:tentative="0">
      <w:start w:val="0"/>
      <w:numFmt w:val="bullet"/>
      <w:lvlText w:val="•"/>
      <w:lvlJc w:val="left"/>
      <w:pPr>
        <w:ind w:left="6684" w:hanging="425"/>
      </w:pPr>
      <w:rPr>
        <w:rFonts w:hint="default"/>
        <w:lang w:val="zh-CN" w:eastAsia="zh-CN" w:bidi="zh-CN"/>
      </w:rPr>
    </w:lvl>
    <w:lvl w:ilvl="8" w:tentative="0">
      <w:start w:val="0"/>
      <w:numFmt w:val="bullet"/>
      <w:lvlText w:val="•"/>
      <w:lvlJc w:val="left"/>
      <w:pPr>
        <w:ind w:left="7565" w:hanging="425"/>
      </w:pPr>
      <w:rPr>
        <w:rFonts w:hint="default"/>
        <w:lang w:val="zh-CN" w:eastAsia="zh-CN" w:bidi="zh-CN"/>
      </w:rPr>
    </w:lvl>
  </w:abstractNum>
  <w:abstractNum w:abstractNumId="2">
    <w:nsid w:val="59ADCABA"/>
    <w:multiLevelType w:val="multilevel"/>
    <w:tmpl w:val="59ADCABA"/>
    <w:lvl w:ilvl="0" w:tentative="0">
      <w:start w:val="1"/>
      <w:numFmt w:val="decimal"/>
      <w:lvlText w:val="%1."/>
      <w:lvlJc w:val="left"/>
      <w:pPr>
        <w:ind w:left="528" w:hanging="425"/>
        <w:jc w:val="left"/>
      </w:pPr>
      <w:rPr>
        <w:rFonts w:hint="default" w:ascii="宋体" w:hAnsi="宋体" w:eastAsia="宋体" w:cs="宋体"/>
        <w:spacing w:val="0"/>
        <w:w w:val="100"/>
        <w:sz w:val="30"/>
        <w:szCs w:val="30"/>
        <w:lang w:val="zh-CN" w:eastAsia="zh-CN" w:bidi="zh-CN"/>
      </w:rPr>
    </w:lvl>
    <w:lvl w:ilvl="1" w:tentative="0">
      <w:start w:val="0"/>
      <w:numFmt w:val="bullet"/>
      <w:lvlText w:val="•"/>
      <w:lvlJc w:val="left"/>
      <w:pPr>
        <w:ind w:left="1400" w:hanging="425"/>
      </w:pPr>
      <w:rPr>
        <w:rFonts w:hint="default"/>
        <w:lang w:val="zh-CN" w:eastAsia="zh-CN" w:bidi="zh-CN"/>
      </w:rPr>
    </w:lvl>
    <w:lvl w:ilvl="2" w:tentative="0">
      <w:start w:val="0"/>
      <w:numFmt w:val="bullet"/>
      <w:lvlText w:val="•"/>
      <w:lvlJc w:val="left"/>
      <w:pPr>
        <w:ind w:left="2281" w:hanging="425"/>
      </w:pPr>
      <w:rPr>
        <w:rFonts w:hint="default"/>
        <w:lang w:val="zh-CN" w:eastAsia="zh-CN" w:bidi="zh-CN"/>
      </w:rPr>
    </w:lvl>
    <w:lvl w:ilvl="3" w:tentative="0">
      <w:start w:val="0"/>
      <w:numFmt w:val="bullet"/>
      <w:lvlText w:val="•"/>
      <w:lvlJc w:val="left"/>
      <w:pPr>
        <w:ind w:left="3161" w:hanging="425"/>
      </w:pPr>
      <w:rPr>
        <w:rFonts w:hint="default"/>
        <w:lang w:val="zh-CN" w:eastAsia="zh-CN" w:bidi="zh-CN"/>
      </w:rPr>
    </w:lvl>
    <w:lvl w:ilvl="4" w:tentative="0">
      <w:start w:val="0"/>
      <w:numFmt w:val="bullet"/>
      <w:lvlText w:val="•"/>
      <w:lvlJc w:val="left"/>
      <w:pPr>
        <w:ind w:left="4042" w:hanging="425"/>
      </w:pPr>
      <w:rPr>
        <w:rFonts w:hint="default"/>
        <w:lang w:val="zh-CN" w:eastAsia="zh-CN" w:bidi="zh-CN"/>
      </w:rPr>
    </w:lvl>
    <w:lvl w:ilvl="5" w:tentative="0">
      <w:start w:val="0"/>
      <w:numFmt w:val="bullet"/>
      <w:lvlText w:val="•"/>
      <w:lvlJc w:val="left"/>
      <w:pPr>
        <w:ind w:left="4923" w:hanging="425"/>
      </w:pPr>
      <w:rPr>
        <w:rFonts w:hint="default"/>
        <w:lang w:val="zh-CN" w:eastAsia="zh-CN" w:bidi="zh-CN"/>
      </w:rPr>
    </w:lvl>
    <w:lvl w:ilvl="6" w:tentative="0">
      <w:start w:val="0"/>
      <w:numFmt w:val="bullet"/>
      <w:lvlText w:val="•"/>
      <w:lvlJc w:val="left"/>
      <w:pPr>
        <w:ind w:left="5803" w:hanging="425"/>
      </w:pPr>
      <w:rPr>
        <w:rFonts w:hint="default"/>
        <w:lang w:val="zh-CN" w:eastAsia="zh-CN" w:bidi="zh-CN"/>
      </w:rPr>
    </w:lvl>
    <w:lvl w:ilvl="7" w:tentative="0">
      <w:start w:val="0"/>
      <w:numFmt w:val="bullet"/>
      <w:lvlText w:val="•"/>
      <w:lvlJc w:val="left"/>
      <w:pPr>
        <w:ind w:left="6684" w:hanging="425"/>
      </w:pPr>
      <w:rPr>
        <w:rFonts w:hint="default"/>
        <w:lang w:val="zh-CN" w:eastAsia="zh-CN" w:bidi="zh-CN"/>
      </w:rPr>
    </w:lvl>
    <w:lvl w:ilvl="8" w:tentative="0">
      <w:start w:val="0"/>
      <w:numFmt w:val="bullet"/>
      <w:lvlText w:val="•"/>
      <w:lvlJc w:val="left"/>
      <w:pPr>
        <w:ind w:left="7565" w:hanging="425"/>
      </w:pPr>
      <w:rPr>
        <w:rFonts w:hint="default"/>
        <w:lang w:val="zh-CN" w:eastAsia="zh-CN" w:bidi="zh-C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C33B18"/>
    <w:rsid w:val="1B6B0E5F"/>
    <w:rsid w:val="27E668BF"/>
    <w:rsid w:val="31363182"/>
    <w:rsid w:val="389E63C5"/>
    <w:rsid w:val="3C7F111C"/>
    <w:rsid w:val="3FA32BF7"/>
    <w:rsid w:val="47045724"/>
    <w:rsid w:val="484D3862"/>
    <w:rsid w:val="54A2127B"/>
    <w:rsid w:val="65095F4A"/>
    <w:rsid w:val="6D277F2B"/>
    <w:rsid w:val="72910AA5"/>
    <w:rsid w:val="732959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83"/>
      <w:ind w:left="530"/>
      <w:outlineLvl w:val="1"/>
    </w:pPr>
    <w:rPr>
      <w:rFonts w:ascii="宋体" w:hAnsi="宋体" w:eastAsia="宋体" w:cs="宋体"/>
      <w:b/>
      <w:bCs/>
      <w:sz w:val="44"/>
      <w:szCs w:val="44"/>
      <w:lang w:val="zh-CN" w:eastAsia="zh-CN" w:bidi="zh-CN"/>
    </w:rPr>
  </w:style>
  <w:style w:type="paragraph" w:styleId="3">
    <w:name w:val="heading 2"/>
    <w:basedOn w:val="1"/>
    <w:next w:val="1"/>
    <w:qFormat/>
    <w:uiPriority w:val="1"/>
    <w:pPr>
      <w:ind w:left="103"/>
      <w:outlineLvl w:val="2"/>
    </w:pPr>
    <w:rPr>
      <w:rFonts w:ascii="宋体" w:hAnsi="宋体" w:eastAsia="宋体" w:cs="宋体"/>
      <w:b/>
      <w:bCs/>
      <w:sz w:val="30"/>
      <w:szCs w:val="30"/>
      <w:lang w:val="zh-CN" w:eastAsia="zh-CN" w:bidi="zh-CN"/>
    </w:rPr>
  </w:style>
  <w:style w:type="character" w:default="1" w:styleId="6">
    <w:name w:val="Default Paragraph Font"/>
    <w:semiHidden/>
    <w:unhideWhenUsed/>
    <w:qFormat/>
    <w:uiPriority w:val="1"/>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qFormat/>
    <w:uiPriority w:val="1"/>
    <w:pPr>
      <w:spacing w:before="240"/>
      <w:ind w:left="103"/>
    </w:pPr>
    <w:rPr>
      <w:rFonts w:ascii="宋体" w:hAnsi="宋体" w:eastAsia="宋体" w:cs="宋体"/>
      <w:sz w:val="30"/>
      <w:szCs w:val="30"/>
      <w:lang w:val="zh-CN" w:eastAsia="zh-CN" w:bidi="zh-CN"/>
    </w:rPr>
  </w:style>
  <w:style w:type="table" w:customStyle="1" w:styleId="7">
    <w:name w:val="Table Normal"/>
    <w:semiHidden/>
    <w:unhideWhenUsed/>
    <w:qFormat/>
    <w:uiPriority w:val="2"/>
    <w:tblPr>
      <w:tblLayout w:type="fixed"/>
      <w:tblCellMar>
        <w:top w:w="0" w:type="dxa"/>
        <w:left w:w="0" w:type="dxa"/>
        <w:bottom w:w="0" w:type="dxa"/>
        <w:right w:w="0" w:type="dxa"/>
      </w:tblCellMar>
    </w:tblPr>
  </w:style>
  <w:style w:type="paragraph" w:styleId="8">
    <w:name w:val="List Paragraph"/>
    <w:basedOn w:val="1"/>
    <w:qFormat/>
    <w:uiPriority w:val="1"/>
    <w:pPr>
      <w:spacing w:before="240"/>
      <w:ind w:left="528" w:hanging="426"/>
    </w:pPr>
    <w:rPr>
      <w:rFonts w:ascii="宋体" w:hAnsi="宋体" w:eastAsia="宋体" w:cs="宋体"/>
      <w:lang w:val="zh-CN" w:eastAsia="zh-CN" w:bidi="zh-CN"/>
    </w:rPr>
  </w:style>
  <w:style w:type="paragraph" w:customStyle="1" w:styleId="9">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121</TotalTime>
  <ScaleCrop>false</ScaleCrop>
  <LinksUpToDate>false</LinksUpToDate>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2019-06-28T06:36:00Z</dcterms:created>
  <dc:creator>november_sky</dc:creator>
  <cp:lastModifiedBy>赵荣利</cp:lastModifiedBy>
  <cp:lastPrinted>2019-07-01T01:06:00Z</cp:lastPrinted>
  <dcterms:modified xsi:type="dcterms:W3CDTF">2019-10-08T09:49:25Z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2018-10-09T00:00:00Z</vt:filetime>
  </property>
  <property fmtid="{D5CDD505-2E9C-101B-9397-08002B2CF9AE}" pid="3" name="Creator">
    <vt:lpwstr>Microsoft® Word for Office 365</vt:lpwstr>
  </property>
  <property fmtid="{D5CDD505-2E9C-101B-9397-08002B2CF9AE}" pid="4" name="LastSaved">
    <vt:filetime>2019-06-28T00:00:00Z</vt:filetime>
  </property>
  <property fmtid="{D5CDD505-2E9C-101B-9397-08002B2CF9AE}" pid="5" name="KSOProductBuildVer">
    <vt:lpwstr>2052-11.1.0.9098</vt:lpwstr>
  </property>
</Properties>
</file>